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5"/>
    <w:p>
      <w:pPr>
        <w:pStyle w:val="Heading1"/>
      </w:pPr>
      <w:r>
        <w:t xml:space="preserve">Homiletics Analysis: Numbers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15 sits between two episodes of devastating Israelite failure: the spying catastrophe and rebellion of chapters 13–14, and the Korah rebellion of chapter 16. That framing is not incidental — it is exegetically essential. Chapter 14 ends with the sentence of an entire generation to wilderness death for their unbelief. Chapter 15 opens with the LORD continuing to give Israel laws about offerings and sacrifices, projecting Israel forward into the land they have just refused to enter. The chapter divides into four distinct units: (1) supplementary offering laws for burnt offerings, freewill offerings, and fellowship offerings, including wine offerings and grain offerings proportional to the animal offered (vv. 1–16); (2) the law of the first-ground offering (the</w:t>
      </w:r>
      <w:r>
        <w:t xml:space="preserve"> </w:t>
      </w:r>
      <w:r>
        <w:rPr>
          <w:i/>
          <w:iCs/>
        </w:rPr>
        <w:t xml:space="preserve">challah</w:t>
      </w:r>
      <w:r>
        <w:t xml:space="preserve">) — a dough offering from the first of the threshing floor, given to the LORD when Israel enters the land (vv. 17–21); (3) the law governing unintentional sin offerings — for the community (vv. 22–26) and for the individual (vv. 27–29) — with its sharp counterpart, the law regarding the high-handed (deliberate, defiant) sinner, who is to be cut off because he has despised the word of the LORD (vv. 30–31); and (4) a narrative episode illustrating high-handed sin: a man caught gathering sticks on the Sabbath, taken into custody, and executed by stoning at the LORD’s explicit command (vv. 32–36), followed by the law of the tassels (</w:t>
      </w:r>
      <w:r>
        <w:rPr>
          <w:i/>
          <w:iCs/>
        </w:rPr>
        <w:t xml:space="preserve">tzitzit</w:t>
      </w:r>
      <w:r>
        <w:t xml:space="preserve">) on the corners of garments, intended to prompt Israel to remember and obey all the LORD’s commandments rather than following their own heart (vv. 37–41).</w:t>
      </w:r>
    </w:p>
    <w:p>
      <w:pPr>
        <w:pStyle w:val="BodyText"/>
      </w:pPr>
      <w:r>
        <w:t xml:space="preserve">The chapter is, in one sense, an interlude of covenant legislation embedded in a narrative of failure. But the legislation is not arbitrary. Every section carries covenantal logic. The offering laws of verses 1–16 twice include the resident alien (</w:t>
      </w:r>
      <w:r>
        <w:rPr>
          <w:i/>
          <w:iCs/>
        </w:rPr>
        <w:t xml:space="preserve">ger</w:t>
      </w:r>
      <w:r>
        <w:t xml:space="preserve">) as holding the same covenant obligation and privilege as the native-born Israelite — a notable emphasis. The unintentional/intentional sin distinction of verses 22–31 establishes that the covenant operates on a graduated but not unlimited basis: the LORD makes provision for sin that arises from human weakness and inadvertence, but not for the sin of the person who acts with a raised fist, despising God’s word. The</w:t>
      </w:r>
      <w:r>
        <w:t xml:space="preserve"> </w:t>
      </w:r>
      <w:r>
        <w:rPr>
          <w:i/>
          <w:iCs/>
        </w:rPr>
        <w:t xml:space="preserve">tzitzit</w:t>
      </w:r>
      <w:r>
        <w:t xml:space="preserve"> </w:t>
      </w:r>
      <w:r>
        <w:t xml:space="preserve">law closes the chapter by providing a tangible, daily, embodied memorial — a piece of thread — designed to interrupt the drift of forgetful hearts.</w:t>
      </w:r>
    </w:p>
    <w:p>
      <w:pPr>
        <w:pStyle w:val="BodyText"/>
      </w:pPr>
      <w:r>
        <w:rPr>
          <w:b/>
          <w:bCs/>
        </w:rPr>
        <w:t xml:space="preserve">This Text — Intent</w:t>
      </w:r>
    </w:p>
    <w:p>
      <w:pPr>
        <w:pStyle w:val="BodyText"/>
      </w:pPr>
      <w:r>
        <w:t xml:space="preserve">God is doing something precise through the placement and content of this chapter. After a generation’s catastrophic failure of faith, the LORD does not pause, retreat, or renegotiate the covenant — He advances it. He speaks again of</w:t>
      </w:r>
      <w:r>
        <w:t xml:space="preserve"> </w:t>
      </w:r>
      <w:r>
        <w:rPr>
          <w:i/>
          <w:iCs/>
        </w:rPr>
        <w:t xml:space="preserve">when you come into the land</w:t>
      </w:r>
      <w:r>
        <w:t xml:space="preserve"> </w:t>
      </w:r>
      <w:r>
        <w:t xml:space="preserve">(v. 2, v. 18), treating the rebellion of chapter 14 not as the cancellation of covenant purpose but as a detour within it. The intent of the chapter is to reassure the surviving community and the next generation that the covenant stands, that it is livable — and to instruct them in what fidelity to it actually requires. Within that frame, God also draws a hard line: the covenant is not infinitely elastic. The deliberate, defiant despiser of God’s word is not covered by sacrificial provision. And the</w:t>
      </w:r>
      <w:r>
        <w:t xml:space="preserve"> </w:t>
      </w:r>
      <w:r>
        <w:rPr>
          <w:i/>
          <w:iCs/>
        </w:rPr>
        <w:t xml:space="preserve">tzitzit</w:t>
      </w:r>
      <w:r>
        <w:t xml:space="preserve"> </w:t>
      </w:r>
      <w:r>
        <w:t xml:space="preserve">are given specifically because hearts wander — God knows His people will forget and will be pulled toward the desires of their own hearts and eyes (v. 39). The intent is not merely informational. It is covenantal reassurance, covenantal realism about human weakness, covenantal warning about defiance, and covenantal provision of a physical aid to obedience.</w:t>
      </w:r>
    </w:p>
    <w:p>
      <w:r>
        <w:pict>
          <v:rect style="width:0;height:1.5pt" o:hralign="center" o:hrstd="t" o:hr="t"/>
        </w:pict>
      </w:r>
    </w:p>
    <w:p>
      <w:pPr>
        <w:pStyle w:val="FirstParagraph"/>
      </w:pPr>
      <w:r>
        <w:rPr>
          <w:b/>
          <w:bCs/>
        </w:rPr>
        <w:t xml:space="preserve">Subject Sentence:</w:t>
      </w:r>
      <w:r>
        <w:t xml:space="preserve"> </w:t>
      </w:r>
      <w:r>
        <w:t xml:space="preserve">After Israel’s catastrophic unbelief, the LORD advances His covenant — grace persists, provision is made, defiance is judged.</w:t>
      </w:r>
    </w:p>
    <w:p>
      <w:r>
        <w:pict>
          <v:rect style="width:0;height:1.5pt" o:hralign="center" o:hrstd="t" o:hr="t"/>
        </w:pict>
      </w:r>
    </w:p>
    <w:p>
      <w:pPr>
        <w:pStyle w:val="FirstParagraph"/>
      </w:pPr>
      <w:r>
        <w:rPr>
          <w:b/>
          <w:bCs/>
        </w:rPr>
        <w:t xml:space="preserve">Primary Claim:</w:t>
      </w:r>
      <w:r>
        <w:t xml:space="preserve"> </w:t>
      </w:r>
      <w:r>
        <w:t xml:space="preserve">God’s covenant cannot be undone by human failure — He speaks again of</w:t>
      </w:r>
      <w:r>
        <w:t xml:space="preserve"> </w:t>
      </w:r>
      <w:r>
        <w:t xml:space="preserve">“when you come into the land,”</w:t>
      </w:r>
      <w:r>
        <w:t xml:space="preserve"> </w:t>
      </w:r>
      <w:r>
        <w:t xml:space="preserve">provides atonement for the weak, warns the defiant, and gives His forgetful people a thread to remember Him by; the covenant is alive and moving even when His people are 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unintentional/intentional sin distinction (vv. 22–31)</w:t>
      </w:r>
    </w:p>
    <w:p>
      <w:pPr>
        <w:pStyle w:val="BodyText"/>
      </w:pPr>
      <w:r>
        <w:t xml:space="preserve">The sharpest interpretive question in the chapter is the distinction between</w:t>
      </w:r>
      <w:r>
        <w:t xml:space="preserve"> </w:t>
      </w:r>
      <w:r>
        <w:rPr>
          <w:i/>
          <w:iCs/>
        </w:rPr>
        <w:t xml:space="preserve">unintentional</w:t>
      </w:r>
      <w:r>
        <w:t xml:space="preserve"> </w:t>
      </w:r>
      <w:r>
        <w:t xml:space="preserve">(</w:t>
      </w:r>
      <w:r>
        <w:rPr>
          <w:i/>
          <w:iCs/>
        </w:rPr>
        <w:t xml:space="preserve">bishgagah</w:t>
      </w:r>
      <w:r>
        <w:t xml:space="preserve">) and</w:t>
      </w:r>
      <w:r>
        <w:t xml:space="preserve"> </w:t>
      </w:r>
      <w:r>
        <w:rPr>
          <w:i/>
          <w:iCs/>
        </w:rPr>
        <w:t xml:space="preserve">high-handed</w:t>
      </w:r>
      <w:r>
        <w:t xml:space="preserve"> </w:t>
      </w:r>
      <w:r>
        <w:t xml:space="preserve">(</w:t>
      </w:r>
      <w:r>
        <w:rPr>
          <w:i/>
          <w:iCs/>
        </w:rPr>
        <w:t xml:space="preserve">beyad ramah</w:t>
      </w:r>
      <w:r>
        <w:t xml:space="preserve"> </w:t>
      </w:r>
      <w:r>
        <w:t xml:space="preserve">— literally</w:t>
      </w:r>
      <w:r>
        <w:t xml:space="preserve"> </w:t>
      </w:r>
      <w:r>
        <w:t xml:space="preserve">“with a raised hand”</w:t>
      </w:r>
      <w:r>
        <w:t xml:space="preserve">) sin. Roman Catholic sacramental theology has historically mapped this distinction onto the mortal/venial sin framework, treating high-handed sin as requiring extraordinary remediation beyond ordinary confession. This reading imports categories that the text does not establish and that the broader Levitical system does not sustain — the distinction in Numbers 15 is not between degrees of sin requiring different types of sacramental remedy, but between sins that arise from human weakness and inadvertence (which the sacrificial system covers) and sin that is an act of outright defiance and contempt toward God’s word (which no sacrifice covers, because no sacrifice has been offered in faith — it is a rejection of the covenant relationship itself). The Catholic reading should be</w:t>
      </w:r>
      <w:r>
        <w:t xml:space="preserve"> </w:t>
      </w:r>
      <w:r>
        <w:rPr>
          <w:b/>
          <w:bCs/>
        </w:rPr>
        <w:t xml:space="preserve">qualified</w:t>
      </w:r>
      <w:r>
        <w:t xml:space="preserve">: it correctly identifies that the distinction is morally significant, but it mislocates the remedy in sacramental machinery rather than in covenant relationship and divine mercy.</w:t>
      </w:r>
    </w:p>
    <w:p>
      <w:pPr>
        <w:pStyle w:val="BodyText"/>
      </w:pPr>
      <w:r>
        <w:t xml:space="preserve">The Wesleyan/Arminian tradition has sometimes read verses 30–31 as straightforward evidence for the possibility of apostasy — the high-handed sinner being a believer who has finally and fatally fallen away. This reading is worth</w:t>
      </w:r>
      <w:r>
        <w:t xml:space="preserve"> </w:t>
      </w:r>
      <w:r>
        <w:rPr>
          <w:b/>
          <w:bCs/>
        </w:rPr>
        <w:t xml:space="preserve">acknowledging</w:t>
      </w:r>
      <w:r>
        <w:t xml:space="preserve"> </w:t>
      </w:r>
      <w:r>
        <w:t xml:space="preserve">as pressing a genuine issue: this text does present someone within the covenant community who places themselves outside covenant provision by their own defiant action. The Reformed reading does not deny the seriousness of this — it locates the distinction elsewhere. The high-handed sinner is not simply someone who sinned boldly; the text specifies that this person has</w:t>
      </w:r>
      <w:r>
        <w:t xml:space="preserve"> </w:t>
      </w:r>
      <w:r>
        <w:rPr>
          <w:i/>
          <w:iCs/>
        </w:rPr>
        <w:t xml:space="preserve">despised the word of the LORD</w:t>
      </w:r>
      <w:r>
        <w:t xml:space="preserve"> </w:t>
      </w:r>
      <w:r>
        <w:t xml:space="preserve">and</w:t>
      </w:r>
      <w:r>
        <w:t xml:space="preserve"> </w:t>
      </w:r>
      <w:r>
        <w:rPr>
          <w:i/>
          <w:iCs/>
        </w:rPr>
        <w:t xml:space="preserve">broken His commandment</w:t>
      </w:r>
      <w:r>
        <w:t xml:space="preserve"> </w:t>
      </w:r>
      <w:r>
        <w:t xml:space="preserve">— the language of covenant rejection, not of a believer stumbling badly. The Reformed understanding of the perseverance of the saints holds that those truly united to God by faith will not ultimately and finally make this move — not because high-handed sin is impossible for believers, but because the new covenant’s provision (Hebrews 9–10; 1 John 2:1–2) includes an advocacy that goes beyond the Levitical system. The distinction between believers who sin seriously and those who finally despise God’s word remains — but the new covenant’s provision changes what is available.</w:t>
      </w:r>
    </w:p>
    <w:p>
      <w:pPr>
        <w:pStyle w:val="BodyText"/>
      </w:pPr>
      <w:r>
        <w:t xml:space="preserve">The Dispensational tradition tends to treat the offering laws of chapter 15 as belonging strictly to a national-Israel, law-covenant framework with no direct New Testament application. This reading should be</w:t>
      </w:r>
      <w:r>
        <w:t xml:space="preserve"> </w:t>
      </w:r>
      <w:r>
        <w:rPr>
          <w:b/>
          <w:bCs/>
        </w:rPr>
        <w:t xml:space="preserve">qualified</w:t>
      </w:r>
      <w:r>
        <w:t xml:space="preserve">: it is correct that the Levitical sacrificial system is fulfilled and superseded in Christ (Hebrews 7–10), and it is right to flag the discontinuity. But dispensationalism, in hard form, loses the theological continuity that makes the chapter’s placement and content meaningful — the same God who makes covenant with Israel makes covenant with the church; the same pattern of grace, provision for weakness, warning for defiance, and memorial for forgetful hearts runs through both Testaments. The</w:t>
      </w:r>
      <w:r>
        <w:t xml:space="preserve"> </w:t>
      </w:r>
      <w:r>
        <w:rPr>
          <w:i/>
          <w:iCs/>
        </w:rPr>
        <w:t xml:space="preserve">tzitzit</w:t>
      </w:r>
      <w:r>
        <w:t xml:space="preserve"> </w:t>
      </w:r>
      <w:r>
        <w:t xml:space="preserve">principle — God giving His people a tangible, embodied memorial to interrupt their drift — is fulfilled in baptism, the Lord’s Supper, and Scripture itself.</w:t>
      </w:r>
    </w:p>
    <w:p>
      <w:pPr>
        <w:pStyle w:val="BodyText"/>
      </w:pPr>
      <w:r>
        <w:rPr>
          <w:b/>
          <w:bCs/>
        </w:rPr>
        <w:t xml:space="preserve">The placement of chapter 15 between failure narratives</w:t>
      </w:r>
    </w:p>
    <w:p>
      <w:pPr>
        <w:pStyle w:val="BodyText"/>
      </w:pPr>
      <w:r>
        <w:t xml:space="preserve">Some interpreters read the placement of the chapter’s legislation as an editorial accident or as a simple continuation of the Sinai legal corpus without narrative significance. This reading should be</w:t>
      </w:r>
      <w:r>
        <w:t xml:space="preserve"> </w:t>
      </w:r>
      <w:r>
        <w:rPr>
          <w:b/>
          <w:bCs/>
        </w:rPr>
        <w:t xml:space="preserve">refuted</w:t>
      </w:r>
      <w:r>
        <w:t xml:space="preserve">. The deliberate repetition of</w:t>
      </w:r>
      <w:r>
        <w:t xml:space="preserve"> </w:t>
      </w:r>
      <w:r>
        <w:rPr>
          <w:i/>
          <w:iCs/>
        </w:rPr>
        <w:t xml:space="preserve">when you come into the land</w:t>
      </w:r>
      <w:r>
        <w:t xml:space="preserve"> </w:t>
      </w:r>
      <w:r>
        <w:t xml:space="preserve">(vv. 2, 18) immediately after the sentence of wilderness death in chapter 14 is exegetically loaded — it is not incidental framing. The LORD is speaking of covenant continuity across the judgment of a generation. The legislation is placed here to communicate something: the covenant moves forward. Any exposition of Numbers 15 that treats the legislation as free-floating law-corpus without attending to the narrative placement misses the passage’s central effect.</w:t>
      </w:r>
    </w:p>
    <w:p>
      <w:pPr>
        <w:pStyle w:val="BodyText"/>
      </w:pPr>
      <w:r>
        <w:rPr>
          <w:b/>
          <w:bCs/>
        </w:rPr>
        <w:t xml:space="preserve">Reformed reading</w:t>
      </w:r>
    </w:p>
    <w:p>
      <w:pPr>
        <w:pStyle w:val="BodyText"/>
      </w:pPr>
      <w:r>
        <w:t xml:space="preserve">The Reformed reading holds together what other traditions tend to pull apart: the gracious forward movement of the covenant (vv. 1–21), the realism about human weakness and the provision for it (vv. 22–29), the seriousness of covenant defiance (vv. 30–31), and the wisdom of embodied covenantal memorial (vv. 37–41). The chapter as a whole is a covenant renewal document embedded in a wilderness crisis, and its claim is that the covenant is more durable than the generation that broke it — and more demanding than a people who wander in their hearts can sustain without help.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10:26–31</w:t>
      </w:r>
      <w:r>
        <w:t xml:space="preserve"> </w:t>
      </w:r>
      <w:r>
        <w:t xml:space="preserve">— The New Testament parallel to the high-handed sin distinction:</w:t>
      </w:r>
      <w:r>
        <w:t xml:space="preserve"> </w:t>
      </w:r>
      <w:r>
        <w:t xml:space="preserve">“if we go on sinning deliberately after receiving the knowledge of the truth, there no longer remains a sacrifice for sins.”</w:t>
      </w:r>
      <w:r>
        <w:t xml:space="preserve"> </w:t>
      </w:r>
      <w:r>
        <w:t xml:space="preserve">Hebrews draws explicitly on the Numbers 15 logic and applies it to the new covenant context.</w:t>
      </w:r>
    </w:p>
    <w:p>
      <w:pPr>
        <w:numPr>
          <w:ilvl w:val="0"/>
          <w:numId w:val="1001"/>
        </w:numPr>
      </w:pPr>
      <w:r>
        <w:rPr>
          <w:b/>
          <w:bCs/>
        </w:rPr>
        <w:t xml:space="preserve">1 John 2:1–2</w:t>
      </w:r>
      <w:r>
        <w:t xml:space="preserve"> </w:t>
      </w:r>
      <w:r>
        <w:t xml:space="preserve">—</w:t>
      </w:r>
      <w:r>
        <w:t xml:space="preserve"> </w:t>
      </w:r>
      <w:r>
        <w:t xml:space="preserve">“If anyone sins, we have an advocate with the Father, Jesus Christ the righteous. He is the propitiation for our sins.”</w:t>
      </w:r>
      <w:r>
        <w:t xml:space="preserve"> </w:t>
      </w:r>
      <w:r>
        <w:t xml:space="preserve">The new covenant’s provision for the weak and sinning believer fulfills and surpasses the unintentional sin offering — the advocate is now interceding in the heavenly tabernacle.</w:t>
      </w:r>
    </w:p>
    <w:p>
      <w:pPr>
        <w:numPr>
          <w:ilvl w:val="0"/>
          <w:numId w:val="1001"/>
        </w:numPr>
      </w:pPr>
      <w:r>
        <w:rPr>
          <w:b/>
          <w:bCs/>
        </w:rPr>
        <w:t xml:space="preserve">Deuteronomy 6:4–9</w:t>
      </w:r>
      <w:r>
        <w:t xml:space="preserve"> </w:t>
      </w:r>
      <w:r>
        <w:t xml:space="preserve">— The</w:t>
      </w:r>
      <w:r>
        <w:t xml:space="preserve"> </w:t>
      </w:r>
      <w:r>
        <w:rPr>
          <w:i/>
          <w:iCs/>
        </w:rPr>
        <w:t xml:space="preserve">Shema</w:t>
      </w:r>
      <w:r>
        <w:t xml:space="preserve"> </w:t>
      </w:r>
      <w:r>
        <w:t xml:space="preserve">and its embodied, physical memorial commands — binding commandments on hand, between eyes, on doorposts — run in direct canonical parallel with the</w:t>
      </w:r>
      <w:r>
        <w:t xml:space="preserve"> </w:t>
      </w:r>
      <w:r>
        <w:rPr>
          <w:i/>
          <w:iCs/>
        </w:rPr>
        <w:t xml:space="preserve">tzitzit</w:t>
      </w:r>
      <w:r>
        <w:t xml:space="preserve"> </w:t>
      </w:r>
      <w:r>
        <w:t xml:space="preserve">command: God provides tangible, daily interruptions to forgetful hearts because He knows what forgetfulness costs.</w:t>
      </w:r>
    </w:p>
    <w:p>
      <w:pPr>
        <w:numPr>
          <w:ilvl w:val="0"/>
          <w:numId w:val="1001"/>
        </w:numPr>
      </w:pPr>
      <w:r>
        <w:rPr>
          <w:b/>
          <w:bCs/>
        </w:rPr>
        <w:t xml:space="preserve">Numbers 14:20–35</w:t>
      </w:r>
      <w:r>
        <w:t xml:space="preserve"> </w:t>
      </w:r>
      <w:r>
        <w:t xml:space="preserve">— The immediately preceding passage: the LORD’s sentence of wilderness death and the divine statement</w:t>
      </w:r>
      <w:r>
        <w:t xml:space="preserve"> </w:t>
      </w:r>
      <w:r>
        <w:rPr>
          <w:i/>
          <w:iCs/>
        </w:rPr>
        <w:t xml:space="preserve">“my servant Caleb, because he has a different spirit and has followed me fully, I will bring into the land”</w:t>
      </w:r>
      <w:r>
        <w:t xml:space="preserve"> </w:t>
      </w:r>
      <w:r>
        <w:t xml:space="preserve">— establishing that covenant fidelity survives the generation’s failure and that the land promise remains operative.</w:t>
      </w:r>
    </w:p>
    <w:p>
      <w:pPr>
        <w:numPr>
          <w:ilvl w:val="0"/>
          <w:numId w:val="1001"/>
        </w:numPr>
      </w:pPr>
      <w:r>
        <w:rPr>
          <w:b/>
          <w:bCs/>
        </w:rPr>
        <w:t xml:space="preserve">Jeremiah 31:31–34</w:t>
      </w:r>
      <w:r>
        <w:t xml:space="preserve"> </w:t>
      </w:r>
      <w:r>
        <w:t xml:space="preserve">— The new covenant promise:</w:t>
      </w:r>
      <w:r>
        <w:t xml:space="preserve"> </w:t>
      </w:r>
      <w:r>
        <w:t xml:space="preserve">“I will put my law within them, and I will write it on their hearts.”</w:t>
      </w:r>
      <w:r>
        <w:t xml:space="preserve"> </w:t>
      </w:r>
      <w:r>
        <w:t xml:space="preserve">The problem the</w:t>
      </w:r>
      <w:r>
        <w:t xml:space="preserve"> </w:t>
      </w:r>
      <w:r>
        <w:rPr>
          <w:i/>
          <w:iCs/>
        </w:rPr>
        <w:t xml:space="preserve">tzitzit</w:t>
      </w:r>
      <w:r>
        <w:t xml:space="preserve"> </w:t>
      </w:r>
      <w:r>
        <w:t xml:space="preserve">command is provisionally addressing — hearts that wander, eyes that go astray — is the problem the new covenant directly resolves by interior transformation; the outward memorial gives way to the inward inscription.</w:t>
      </w:r>
    </w:p>
    <w:p>
      <w:r>
        <w:pict>
          <v:rect style="width:0;height:1.5pt" o:hralign="center" o:hrstd="t" o:hr="t"/>
        </w:pict>
      </w:r>
    </w:p>
    <w:p>
      <w:pPr>
        <w:pStyle w:val="FirstParagraph"/>
      </w:pPr>
      <w:r>
        <w:rPr>
          <w:b/>
          <w:bCs/>
        </w:rPr>
        <w:t xml:space="preserve">Aim:</w:t>
      </w:r>
      <w:r>
        <w:t xml:space="preserve"> </w:t>
      </w:r>
      <w:r>
        <w:t xml:space="preserve">To show that God’s covenant grace is both more durable than Israel’s failure and more demanding than a wandering heart can sustain on its own — and that both realities are met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w:t>
            </w:r>
            <w:r>
              <w:t xml:space="preserve"> </w:t>
            </w:r>
            <w:r>
              <w:t xml:space="preserve">“when you come into the land you are to inhabit, which I am giving you…”</w:t>
            </w:r>
          </w:p>
        </w:tc>
        <w:tc>
          <w:tcPr/>
          <w:p>
            <w:pPr>
              <w:pStyle w:val="Compact"/>
            </w:pPr>
            <w:r>
              <w:t xml:space="preserve">The opening phrase is theologically electric given the preceding chapter — the covenant is moving forward</w:t>
            </w:r>
          </w:p>
        </w:tc>
      </w:tr>
      <w:tr>
        <w:tc>
          <w:tcPr/>
          <w:p>
            <w:pPr>
              <w:pStyle w:val="Compact"/>
            </w:pPr>
            <w:r>
              <w:t xml:space="preserve">3–12</w:t>
            </w:r>
          </w:p>
        </w:tc>
        <w:tc>
          <w:tcPr/>
          <w:p>
            <w:pPr>
              <w:pStyle w:val="Compact"/>
            </w:pPr>
            <w:r>
              <w:t xml:space="preserve">Laws for burnt offerings, freewill offerings, and fellowship offerings: grain and wine offerings proportional to animal size (lamb, ram, bull)</w:t>
            </w:r>
          </w:p>
        </w:tc>
        <w:tc>
          <w:tcPr/>
          <w:p>
            <w:pPr>
              <w:pStyle w:val="Compact"/>
            </w:pPr>
            <w:r>
              <w:t xml:space="preserve">Detailed, graduated legislation — the covenant is livable and measurable</w:t>
            </w:r>
          </w:p>
        </w:tc>
      </w:tr>
      <w:tr>
        <w:tc>
          <w:tcPr/>
          <w:p>
            <w:pPr>
              <w:pStyle w:val="Compact"/>
            </w:pPr>
            <w:r>
              <w:t xml:space="preserve">13–16</w:t>
            </w:r>
          </w:p>
        </w:tc>
        <w:tc>
          <w:tcPr/>
          <w:p>
            <w:pPr>
              <w:pStyle w:val="Compact"/>
            </w:pPr>
            <w:r>
              <w:t xml:space="preserve">The resident alien (</w:t>
            </w:r>
            <w:r>
              <w:rPr>
                <w:i/>
                <w:iCs/>
              </w:rPr>
              <w:t xml:space="preserve">ger</w:t>
            </w:r>
            <w:r>
              <w:t xml:space="preserve">) is included under the same statute as the native Israelite —</w:t>
            </w:r>
            <w:r>
              <w:t xml:space="preserve"> </w:t>
            </w:r>
            <w:r>
              <w:t xml:space="preserve">“one statute…before the LORD”</w:t>
            </w:r>
          </w:p>
        </w:tc>
        <w:tc>
          <w:tcPr/>
          <w:p>
            <w:pPr>
              <w:pStyle w:val="Compact"/>
            </w:pPr>
            <w:r>
              <w:t xml:space="preserve">Twice-stated: the covenant community is not ethnically closed; the alien who sojourns with Israel holds the same covenant obligations and privileges</w:t>
            </w:r>
          </w:p>
        </w:tc>
      </w:tr>
      <w:tr>
        <w:tc>
          <w:tcPr/>
          <w:p>
            <w:pPr>
              <w:pStyle w:val="Compact"/>
            </w:pPr>
            <w:r>
              <w:t xml:space="preserve">17–21</w:t>
            </w:r>
          </w:p>
        </w:tc>
        <w:tc>
          <w:tcPr/>
          <w:p>
            <w:pPr>
              <w:pStyle w:val="Compact"/>
            </w:pPr>
            <w:r>
              <w:t xml:space="preserve">The law of the first-ground offering (</w:t>
            </w:r>
            <w:r>
              <w:rPr>
                <w:i/>
                <w:iCs/>
              </w:rPr>
              <w:t xml:space="preserve">challah</w:t>
            </w:r>
            <w:r>
              <w:t xml:space="preserve">): when Israel eats the bread of the land, a dough offering goes to the LORD as a contribution</w:t>
            </w:r>
          </w:p>
        </w:tc>
        <w:tc>
          <w:tcPr/>
          <w:p>
            <w:pPr>
              <w:pStyle w:val="Compact"/>
            </w:pPr>
            <w:r>
              <w:t xml:space="preserve">A first-fruits principle applied to the staple food — the land and its produce are the LORD’s</w:t>
            </w:r>
          </w:p>
        </w:tc>
      </w:tr>
      <w:tr>
        <w:tc>
          <w:tcPr/>
          <w:p>
            <w:pPr>
              <w:pStyle w:val="Compact"/>
            </w:pPr>
            <w:r>
              <w:t xml:space="preserve">22–26</w:t>
            </w:r>
          </w:p>
        </w:tc>
        <w:tc>
          <w:tcPr/>
          <w:p>
            <w:pPr>
              <w:pStyle w:val="Compact"/>
            </w:pPr>
            <w:r>
              <w:t xml:space="preserve">Unintentional community sin: if the entire congregation sins inadvertently (</w:t>
            </w:r>
            <w:r>
              <w:rPr>
                <w:i/>
                <w:iCs/>
              </w:rPr>
              <w:t xml:space="preserve">bishgagah</w:t>
            </w:r>
            <w:r>
              <w:t xml:space="preserve">), a young bull for a burnt offering and a male goat for a sin offering is prescribed; the priest makes atonement, and the community is forgiven</w:t>
            </w:r>
          </w:p>
        </w:tc>
        <w:tc>
          <w:tcPr/>
          <w:p>
            <w:pPr>
              <w:pStyle w:val="Compact"/>
            </w:pPr>
            <w:r>
              <w:t xml:space="preserve">The first horn of the unintentional/high-handed distinction; the community is treated as a moral unit</w:t>
            </w:r>
          </w:p>
        </w:tc>
      </w:tr>
      <w:tr>
        <w:tc>
          <w:tcPr/>
          <w:p>
            <w:pPr>
              <w:pStyle w:val="Compact"/>
            </w:pPr>
            <w:r>
              <w:t xml:space="preserve">27–29</w:t>
            </w:r>
          </w:p>
        </w:tc>
        <w:tc>
          <w:tcPr/>
          <w:p>
            <w:pPr>
              <w:pStyle w:val="Compact"/>
            </w:pPr>
            <w:r>
              <w:t xml:space="preserve">Unintentional individual sin: a year-old female goat for a sin offering; the priest makes atonement, and the individual is forgiven</w:t>
            </w:r>
          </w:p>
        </w:tc>
        <w:tc>
          <w:tcPr/>
          <w:p>
            <w:pPr>
              <w:pStyle w:val="Compact"/>
            </w:pPr>
            <w:r>
              <w:t xml:space="preserve">Parallel provision for the individual; the</w:t>
            </w:r>
            <w:r>
              <w:t xml:space="preserve"> </w:t>
            </w:r>
            <w:r>
              <w:rPr>
                <w:i/>
                <w:iCs/>
              </w:rPr>
              <w:t xml:space="preserve">ger</w:t>
            </w:r>
            <w:r>
              <w:t xml:space="preserve"> </w:t>
            </w:r>
            <w:r>
              <w:t xml:space="preserve">again included on equal terms</w:t>
            </w:r>
          </w:p>
        </w:tc>
      </w:tr>
      <w:tr>
        <w:tc>
          <w:tcPr/>
          <w:p>
            <w:pPr>
              <w:pStyle w:val="Compact"/>
            </w:pPr>
            <w:r>
              <w:t xml:space="preserve">30–31</w:t>
            </w:r>
          </w:p>
        </w:tc>
        <w:tc>
          <w:tcPr/>
          <w:p>
            <w:pPr>
              <w:pStyle w:val="Compact"/>
            </w:pPr>
            <w:r>
              <w:t xml:space="preserve">High-handed sin: the person who acts</w:t>
            </w:r>
            <w:r>
              <w:t xml:space="preserve"> </w:t>
            </w:r>
            <w:r>
              <w:rPr>
                <w:i/>
                <w:iCs/>
              </w:rPr>
              <w:t xml:space="preserve">beyad ramah</w:t>
            </w:r>
            <w:r>
              <w:t xml:space="preserve"> </w:t>
            </w:r>
            <w:r>
              <w:t xml:space="preserve">— with a raised hand — despises the word of the LORD and shall be cut off; his iniquity is upon him</w:t>
            </w:r>
          </w:p>
        </w:tc>
        <w:tc>
          <w:tcPr/>
          <w:p>
            <w:pPr>
              <w:pStyle w:val="Compact"/>
            </w:pPr>
            <w:r>
              <w:t xml:space="preserve">No sacrifice prescribed; no atonement offered. This is the hard line.</w:t>
            </w:r>
            <w:r>
              <w:t xml:space="preserve"> </w:t>
            </w:r>
            <w:r>
              <w:t xml:space="preserve">“Despised the word of the LORD”</w:t>
            </w:r>
            <w:r>
              <w:t xml:space="preserve"> </w:t>
            </w:r>
            <w:r>
              <w:t xml:space="preserve">is covenant-rejection language</w:t>
            </w:r>
          </w:p>
        </w:tc>
      </w:tr>
      <w:tr>
        <w:tc>
          <w:tcPr/>
          <w:p>
            <w:pPr>
              <w:pStyle w:val="Compact"/>
            </w:pPr>
            <w:r>
              <w:t xml:space="preserve">32–36</w:t>
            </w:r>
          </w:p>
        </w:tc>
        <w:tc>
          <w:tcPr/>
          <w:p>
            <w:pPr>
              <w:pStyle w:val="Compact"/>
            </w:pPr>
            <w:r>
              <w:t xml:space="preserve">Narrative: a man found gathering sticks on the Sabbath; brought into custody pending inquiry; the LORD commands execution by stoning outside the camp; the congregation stones him</w:t>
            </w:r>
          </w:p>
        </w:tc>
        <w:tc>
          <w:tcPr/>
          <w:p>
            <w:pPr>
              <w:pStyle w:val="Compact"/>
            </w:pPr>
            <w:r>
              <w:t xml:space="preserve">The legislation of vv. 30–31 is immediately illustrated. The Sabbath violation is not presented as inadvertent — it is a known, public breach</w:t>
            </w:r>
          </w:p>
        </w:tc>
      </w:tr>
      <w:tr>
        <w:tc>
          <w:tcPr/>
          <w:p>
            <w:pPr>
              <w:pStyle w:val="Compact"/>
            </w:pPr>
            <w:r>
              <w:t xml:space="preserve">37–41</w:t>
            </w:r>
          </w:p>
        </w:tc>
        <w:tc>
          <w:tcPr/>
          <w:p>
            <w:pPr>
              <w:pStyle w:val="Compact"/>
            </w:pPr>
            <w:r>
              <w:t xml:space="preserve">The</w:t>
            </w:r>
            <w:r>
              <w:t xml:space="preserve"> </w:t>
            </w:r>
            <w:r>
              <w:rPr>
                <w:i/>
                <w:iCs/>
              </w:rPr>
              <w:t xml:space="preserve">tzitzit</w:t>
            </w:r>
            <w:r>
              <w:t xml:space="preserve"> </w:t>
            </w:r>
            <w:r>
              <w:t xml:space="preserve">law: fringes on the corners of garments with a cord of blue, to remember all the LORD’s commandments and not follow the heart and eyes in their wandering;</w:t>
            </w:r>
            <w:r>
              <w:t xml:space="preserve"> </w:t>
            </w:r>
            <w:r>
              <w:t xml:space="preserve">“I am the LORD your God who brought you out of Egypt to be your God”</w:t>
            </w:r>
          </w:p>
        </w:tc>
        <w:tc>
          <w:tcPr/>
          <w:p>
            <w:pPr>
              <w:pStyle w:val="Compact"/>
            </w:pPr>
            <w:r>
              <w:t xml:space="preserve">The chapter closes with a provision for forgetfulness — God knows His people need a physical reminder; the Exodus grounds the command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Covenant Offerings Prescribed for Life in the Land — Including the Alien</w:t>
            </w:r>
          </w:p>
        </w:tc>
      </w:tr>
      <w:tr>
        <w:tc>
          <w:tcPr/>
          <w:p>
            <w:pPr>
              <w:pStyle w:val="Compact"/>
            </w:pPr>
            <w:r>
              <w:t xml:space="preserve">2</w:t>
            </w:r>
          </w:p>
        </w:tc>
        <w:tc>
          <w:tcPr/>
          <w:p>
            <w:pPr>
              <w:pStyle w:val="Compact"/>
            </w:pPr>
            <w:r>
              <w:t xml:space="preserve">17–21</w:t>
            </w:r>
          </w:p>
        </w:tc>
        <w:tc>
          <w:tcPr/>
          <w:p>
            <w:pPr>
              <w:pStyle w:val="Compact"/>
            </w:pPr>
            <w:r>
              <w:t xml:space="preserve">The First-Ground Offering — The Land’s Produce Belongs to the LORD</w:t>
            </w:r>
          </w:p>
        </w:tc>
      </w:tr>
      <w:tr>
        <w:tc>
          <w:tcPr/>
          <w:p>
            <w:pPr>
              <w:pStyle w:val="Compact"/>
            </w:pPr>
            <w:r>
              <w:t xml:space="preserve">3</w:t>
            </w:r>
          </w:p>
        </w:tc>
        <w:tc>
          <w:tcPr/>
          <w:p>
            <w:pPr>
              <w:pStyle w:val="Compact"/>
            </w:pPr>
            <w:r>
              <w:t xml:space="preserve">22–29</w:t>
            </w:r>
          </w:p>
        </w:tc>
        <w:tc>
          <w:tcPr/>
          <w:p>
            <w:pPr>
              <w:pStyle w:val="Compact"/>
            </w:pPr>
            <w:r>
              <w:t xml:space="preserve">Provision for Unintentional Sin — Community and Individual</w:t>
            </w:r>
          </w:p>
        </w:tc>
      </w:tr>
      <w:tr>
        <w:tc>
          <w:tcPr/>
          <w:p>
            <w:pPr>
              <w:pStyle w:val="Compact"/>
            </w:pPr>
            <w:r>
              <w:t xml:space="preserve">4</w:t>
            </w:r>
          </w:p>
        </w:tc>
        <w:tc>
          <w:tcPr/>
          <w:p>
            <w:pPr>
              <w:pStyle w:val="Compact"/>
            </w:pPr>
            <w:r>
              <w:t xml:space="preserve">30–31</w:t>
            </w:r>
          </w:p>
        </w:tc>
        <w:tc>
          <w:tcPr/>
          <w:p>
            <w:pPr>
              <w:pStyle w:val="Compact"/>
            </w:pPr>
            <w:r>
              <w:t xml:space="preserve">The Hard Line — High-Handed Sin Receives No Atonement</w:t>
            </w:r>
          </w:p>
        </w:tc>
      </w:tr>
      <w:tr>
        <w:tc>
          <w:tcPr/>
          <w:p>
            <w:pPr>
              <w:pStyle w:val="Compact"/>
            </w:pPr>
            <w:r>
              <w:t xml:space="preserve">5</w:t>
            </w:r>
          </w:p>
        </w:tc>
        <w:tc>
          <w:tcPr/>
          <w:p>
            <w:pPr>
              <w:pStyle w:val="Compact"/>
            </w:pPr>
            <w:r>
              <w:t xml:space="preserve">32–36</w:t>
            </w:r>
          </w:p>
        </w:tc>
        <w:tc>
          <w:tcPr/>
          <w:p>
            <w:pPr>
              <w:pStyle w:val="Compact"/>
            </w:pPr>
            <w:r>
              <w:t xml:space="preserve">The Hard Line Illustrated — The Sabbath-Breaker Executed</w:t>
            </w:r>
          </w:p>
        </w:tc>
      </w:tr>
      <w:tr>
        <w:tc>
          <w:tcPr/>
          <w:p>
            <w:pPr>
              <w:pStyle w:val="Compact"/>
            </w:pPr>
            <w:r>
              <w:t xml:space="preserve">6</w:t>
            </w:r>
          </w:p>
        </w:tc>
        <w:tc>
          <w:tcPr/>
          <w:p>
            <w:pPr>
              <w:pStyle w:val="Compact"/>
            </w:pPr>
            <w:r>
              <w:t xml:space="preserve">37–41</w:t>
            </w:r>
          </w:p>
        </w:tc>
        <w:tc>
          <w:tcPr/>
          <w:p>
            <w:pPr>
              <w:pStyle w:val="Compact"/>
            </w:pPr>
            <w:r>
              <w:t xml:space="preserve">The</w:t>
            </w:r>
            <w:r>
              <w:t xml:space="preserve"> </w:t>
            </w:r>
            <w:r>
              <w:rPr>
                <w:i/>
                <w:iCs/>
              </w:rPr>
              <w:t xml:space="preserve">Tzitzit</w:t>
            </w:r>
            <w:r>
              <w:t xml:space="preserve"> </w:t>
            </w:r>
            <w:r>
              <w:t xml:space="preserve">— A Thread to Interrupt the Wandering Heart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After Israel’s catastrophic unbelief, the LORD advances His covenant — grace persists, provision is made, defiance is judged.</w:t>
      </w:r>
    </w:p>
    <w:p>
      <w:pPr>
        <w:pStyle w:val="BodyText"/>
      </w:pPr>
      <w:r>
        <w:rPr>
          <w:b/>
          <w:bCs/>
        </w:rPr>
        <w:t xml:space="preserve">Primary Claim:</w:t>
      </w:r>
      <w:r>
        <w:t xml:space="preserve"> </w:t>
      </w:r>
      <w:r>
        <w:t xml:space="preserve">God’s covenant cannot be undone by human failure — He speaks again of</w:t>
      </w:r>
      <w:r>
        <w:t xml:space="preserve"> </w:t>
      </w:r>
      <w:r>
        <w:t xml:space="preserve">“when you come into the land,”</w:t>
      </w:r>
      <w:r>
        <w:t xml:space="preserve"> </w:t>
      </w:r>
      <w:r>
        <w:t xml:space="preserve">provides atonement for the weak, warns the defiant, and gives His forgetful people a thread to remember Him by; the covenant is alive and moving even when His people are not.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covenant promise survives the generation that broke it — and it survives your worst failure too.</w:t>
      </w:r>
      <w:r>
        <w:t xml:space="preserve"> </w:t>
      </w:r>
      <w:r>
        <w:rPr>
          <w:i/>
          <w:iCs/>
        </w:rPr>
        <w:t xml:space="preserve">(Mind/belief)</w:t>
      </w:r>
    </w:p>
    <w:p>
      <w:pPr>
        <w:pStyle w:val="BodyText"/>
      </w:pPr>
      <w:r>
        <w:t xml:space="preserve">The most startling phrase in Numbers 15 is the first one:</w:t>
      </w:r>
      <w:r>
        <w:t xml:space="preserve"> </w:t>
      </w:r>
      <w:r>
        <w:rPr>
          <w:i/>
          <w:iCs/>
        </w:rPr>
        <w:t xml:space="preserve">when you come into the land</w:t>
      </w:r>
      <w:r>
        <w:t xml:space="preserve"> </w:t>
      </w:r>
      <w:r>
        <w:t xml:space="preserve">— spoken the day after an entire generation was sentenced to die in the wilderness for their unbelief. God does not revise the promise downward. He does not wait for a more promising cohort. He speaks the covenant into the wreckage. For the Christian who has catastrophically failed — who has made the great betrayal, the great abandonment, the spiritual collapse they thought would end everything — the question is whether the promise still holds. Numbers 15:1–2 answers: the LORD is already speaking</w:t>
      </w:r>
      <w:r>
        <w:t xml:space="preserve"> </w:t>
      </w:r>
      <w:r>
        <w:rPr>
          <w:i/>
          <w:iCs/>
        </w:rPr>
        <w:t xml:space="preserve">when you come into the land</w:t>
      </w:r>
      <w:r>
        <w:t xml:space="preserve"> </w:t>
      </w:r>
      <w:r>
        <w:t xml:space="preserve">over the grave of your worst moment. The next generation is in view. The covenant is in motion. His purpose is not stalled by your failure.</w:t>
      </w:r>
    </w:p>
    <w:p>
      <w:pPr>
        <w:pStyle w:val="BodyText"/>
      </w:pPr>
      <w:r>
        <w:rPr>
          <w:b/>
          <w:bCs/>
        </w:rPr>
        <w:t xml:space="preserve">2. Acknowledge the realism of your own weakness — and receive the provision made for it.</w:t>
      </w:r>
      <w:r>
        <w:t xml:space="preserve"> </w:t>
      </w:r>
      <w:r>
        <w:rPr>
          <w:i/>
          <w:iCs/>
        </w:rPr>
        <w:t xml:space="preserve">(Affections/worship)</w:t>
      </w:r>
    </w:p>
    <w:p>
      <w:pPr>
        <w:pStyle w:val="BodyText"/>
      </w:pPr>
      <w:r>
        <w:t xml:space="preserve">The unintentional sin offering is not a loophole; it is a gift. The covenant’s Lawgiver knows His people well enough to know they will sin from weakness, from ignorance, from the drift of inattention, from the momentum of bad habits and half-formed desires. He makes provision for this — not to lower the moral bar, but to keep the relationship alive across the inevitable gaps between the person God is forming His people into and the person they currently are. The proper response to this provision is not relief-with-smugness (</w:t>
      </w:r>
      <w:r>
        <w:t xml:space="preserve">“good, I’m covered”</w:t>
      </w:r>
      <w:r>
        <w:t xml:space="preserve">) but grateful, honest, worshipful acknowledgment:</w:t>
      </w:r>
      <w:r>
        <w:t xml:space="preserve"> </w:t>
      </w:r>
      <w:r>
        <w:rPr>
          <w:i/>
          <w:iCs/>
        </w:rPr>
        <w:t xml:space="preserve">I am the person these offerings were made for. I am not too weak for grace — the covenant was built knowing exactly how weak I would be.</w:t>
      </w:r>
      <w:r>
        <w:t xml:space="preserve"> </w:t>
      </w:r>
      <w:r>
        <w:t xml:space="preserve">Christian, this is what the blood of Jesus covers — not only the dramatic sins, but the slow drift, the inattention, the sin you committed without fully knowing it.</w:t>
      </w:r>
    </w:p>
    <w:p>
      <w:pPr>
        <w:pStyle w:val="BodyText"/>
      </w:pPr>
      <w:r>
        <w:rPr>
          <w:b/>
          <w:bCs/>
        </w:rPr>
        <w:t xml:space="preserve">3. Do not confuse the provision for weakness with permission for defiance.</w:t>
      </w:r>
      <w:r>
        <w:t xml:space="preserve"> </w:t>
      </w:r>
      <w:r>
        <w:rPr>
          <w:i/>
          <w:iCs/>
        </w:rPr>
        <w:t xml:space="preserve">(Mind/belief)</w:t>
      </w:r>
    </w:p>
    <w:p>
      <w:pPr>
        <w:pStyle w:val="BodyText"/>
      </w:pPr>
      <w:r>
        <w:t xml:space="preserve">The same chapter that provides atonement for unintentional sin draws a hard, clean line around deliberate, high-handed despising of God’s word. The man who knows what the Sabbath requires and publicly gathers sticks anyway — who raises his fist at the LORD’s command — is not covered by the sacrificial system. The distinction matters. The Christian who struggles with sin and brings it again and again to God in genuine repentance is not the same person as the one who has decided that the LORD’s word is negotiable, that obedience is optional, that the covenant can be treated with contempt and then invoked when convenient. Hebrews 10 applies this distinction directly to the new covenant: deliberate, ongoing sin in the face of full knowledge is not a weakness God covers — it is a covenant posture God confronts. The grace that is inexhaustible toward the weak is not infinitely accommodating toward the defiant.</w:t>
      </w:r>
    </w:p>
    <w:p>
      <w:pPr>
        <w:pStyle w:val="BodyText"/>
      </w:pPr>
      <w:r>
        <w:rPr>
          <w:b/>
          <w:bCs/>
        </w:rPr>
        <w:t xml:space="preserve">4. Use the means God gives you to interrupt your own wandering.</w:t>
      </w:r>
      <w:r>
        <w:t xml:space="preserve"> </w:t>
      </w:r>
      <w:r>
        <w:rPr>
          <w:i/>
          <w:iCs/>
        </w:rPr>
        <w:t xml:space="preserve">(Will/behavior)</w:t>
      </w:r>
    </w:p>
    <w:p>
      <w:pPr>
        <w:pStyle w:val="BodyText"/>
      </w:pPr>
      <w:r>
        <w:t xml:space="preserve">The</w:t>
      </w:r>
      <w:r>
        <w:t xml:space="preserve"> </w:t>
      </w:r>
      <w:r>
        <w:rPr>
          <w:i/>
          <w:iCs/>
        </w:rPr>
        <w:t xml:space="preserve">tzitzit</w:t>
      </w:r>
      <w:r>
        <w:t xml:space="preserve"> </w:t>
      </w:r>
      <w:r>
        <w:t xml:space="preserve">command is not primitive or dispensable. It is a revelation about how human beings work: hearts drift, eyes wander, the desires of the moment override the commitments of the morning. God knows this and does not simply command His people to be less forgetful — He gives them a physical object, worn on the body, visible throughout the day, designed to catch the wandering eye and redirect attention to His commandments. The New Covenant equivalent is not the abandonment of this principle but its enrichment: Scripture, baptism, the Lord’s Supper, the gathering of the saints, daily prayer — these are the covenantal interruptions given to forgetful people. The question is not whether you need such interruptions but whether you are using them. What is your</w:t>
      </w:r>
      <w:r>
        <w:t xml:space="preserve"> </w:t>
      </w:r>
      <w:r>
        <w:rPr>
          <w:i/>
          <w:iCs/>
        </w:rPr>
        <w:t xml:space="preserve">tzitzit</w:t>
      </w:r>
      <w:r>
        <w:t xml:space="preserve">? What physical, daily, embodied practice is actually redirecting your drift back toward the LORD?</w:t>
      </w:r>
    </w:p>
    <w:p>
      <w:pPr>
        <w:pStyle w:val="BodyText"/>
      </w:pPr>
      <w:r>
        <w:rPr>
          <w:b/>
          <w:bCs/>
        </w:rPr>
        <w:t xml:space="preserve">5. The alien and the native are one before God — the covenant is not tribal.</w:t>
      </w:r>
      <w:r>
        <w:t xml:space="preserve"> </w:t>
      </w:r>
      <w:r>
        <w:rPr>
          <w:i/>
          <w:iCs/>
        </w:rPr>
        <w:t xml:space="preserve">(Affections/worship)</w:t>
      </w:r>
    </w:p>
    <w:p>
      <w:pPr>
        <w:pStyle w:val="BodyText"/>
      </w:pPr>
      <w:r>
        <w:t xml:space="preserve">The twice-stated inclusion of the</w:t>
      </w:r>
      <w:r>
        <w:t xml:space="preserve"> </w:t>
      </w:r>
      <w:r>
        <w:rPr>
          <w:i/>
          <w:iCs/>
        </w:rPr>
        <w:t xml:space="preserve">ger</w:t>
      </w:r>
      <w:r>
        <w:t xml:space="preserve"> </w:t>
      </w:r>
      <w:r>
        <w:t xml:space="preserve">— the resident alien — under the same covenant statute as the native-born Israelite (vv. 14–16, 29) is not a footnote. It is a structural claim about who the LORD is and what kind of covenant He makes. The covenant community is not defined by bloodline, ethnicity, or native status — it is defined by relationship to the LORD and standing under His word. For the Christian, this is fulfilled and enlarged in the gospel:</w:t>
      </w:r>
      <w:r>
        <w:t xml:space="preserve"> </w:t>
      </w:r>
      <w:r>
        <w:t xml:space="preserve">“there is neither Jew nor Greek…you are all one in Christ Jesus”</w:t>
      </w:r>
      <w:r>
        <w:t xml:space="preserve"> </w:t>
      </w:r>
      <w:r>
        <w:t xml:space="preserve">(Galatians 3:28). The proper response is affective as well as cognitive: a congregation that genuinely grasps the</w:t>
      </w:r>
      <w:r>
        <w:t xml:space="preserve"> </w:t>
      </w:r>
      <w:r>
        <w:rPr>
          <w:i/>
          <w:iCs/>
        </w:rPr>
        <w:t xml:space="preserve">ger</w:t>
      </w:r>
      <w:r>
        <w:t xml:space="preserve">-inclusion of Numbers 15 will feel the wrongness of any tribal, ethnic, or cultural gatekeeping in the church, and will cultivate an active, not merely theoretical, welcome for those from outside the dominant culture.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15 reveals the character of the covenant God — simultaneously gracious, realistic, holy, and wise. He is gracious in that He speaks</w:t>
      </w:r>
      <w:r>
        <w:t xml:space="preserve"> </w:t>
      </w:r>
      <w:r>
        <w:rPr>
          <w:i/>
          <w:iCs/>
        </w:rPr>
        <w:t xml:space="preserve">when you come into the land</w:t>
      </w:r>
      <w:r>
        <w:t xml:space="preserve"> </w:t>
      </w:r>
      <w:r>
        <w:t xml:space="preserve">over the wreckage of a failed generation, refusing to let human unbelief become the final word on His purpose. He is realistic in that He builds provision for human weakness into the very structure of the covenant — the unintentional sin offering is not a concession wrung from reluctant holiness but a deliberate architectural feature of the system. He is holy in that He draws a hard, unambiguous line around deliberate covenant defiance — the high-handed sinner has not simply sinned more boldly but has rejected the covenant relationship itself, and the sacrificial system has nothing to offer someone who has despised the word it was designed to serve. And He is wise in that He gives His forgetful, wandering-hearted people a thread on their garment — a daily, embodied, visible memorial — because He knows the human tendency to spiritualize without practicing, to affirm without remembering.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pre-canonical illustration of what the Westminster Confession means when it says the covenant of grace, though administered differently in different ages, is in substance one covenant. The same covenant that is being enacted with Israel in the wilderness — grace-initiated, provision-including, holiness-requiring, memorial-anchored — is the covenant in which the Christian stands. The distinction between unintentional and high-handed sin has its New Testament reflex in Hebrews 10 and 1 John 2, where the provision of Christ’s blood covers the struggling saint who returns again and again in repentance, while the person who finally despises the blood of the covenant faces the consuming fire of the holy God. The</w:t>
      </w:r>
      <w:r>
        <w:t xml:space="preserve"> </w:t>
      </w:r>
      <w:r>
        <w:rPr>
          <w:i/>
          <w:iCs/>
        </w:rPr>
        <w:t xml:space="preserve">tzitzit</w:t>
      </w:r>
      <w:r>
        <w:t xml:space="preserve"> </w:t>
      </w:r>
      <w:r>
        <w:t xml:space="preserve">command, reformatted and deepened in the New Covenant through Word and Sacrament, reflects the Reformed conviction that sanctification is not a purely interior, individualized transaction but is mediated through embodied, communal, regular means of grace. God knows His people are forgetful. He has given them, in every age, something to wear — something to hold, something to taste, something to gather around — to interrupt the drift and return their eyes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deterred by your worst failure — He is already speaking</w:t>
      </w:r>
      <w:r>
        <w:t xml:space="preserve"> </w:t>
      </w:r>
      <w:r>
        <w:rPr>
          <w:i/>
          <w:iCs/>
        </w:rPr>
        <w:t xml:space="preserve">when you come into the land</w:t>
      </w:r>
      <w:r>
        <w:t xml:space="preserve"> </w:t>
      </w:r>
      <w:r>
        <w:t xml:space="preserve">over the rubble of it. He has made provision for your weakness, drawn a hard line around your defiance, and given you a thread to wear because He knows your heart wanders. The covenant is more durable than your worst moment and more demanding than you can sustain alone — and both of those facts are resolved in the same place: in a Mediator who atones for what the offerings only foreshadowed, and who by His Spirit writes the law on the heart that no tassel could fully reach.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chapter 15 as a legislative interlude with no narrative significance.</w:t>
      </w:r>
      <w:r>
        <w:t xml:space="preserve"> </w:t>
      </w:r>
      <w:r>
        <w:t xml:space="preserve">The most common error in preaching Numbers 15 is to read it as a free-floating block of law-corpus legislation, disconnected from its narrative placement. The opening phrase</w:t>
      </w:r>
      <w:r>
        <w:t xml:space="preserve"> </w:t>
      </w:r>
      <w:r>
        <w:rPr>
          <w:i/>
          <w:iCs/>
        </w:rPr>
        <w:t xml:space="preserve">when you come into the land</w:t>
      </w:r>
      <w:r>
        <w:t xml:space="preserve"> </w:t>
      </w:r>
      <w:r>
        <w:t xml:space="preserve">(vv. 2, 18), delivered the morning after the death sentence of chapter 14, is the theological heart of the chapter. Any sermon that does not begin there — or that treats the chapter as primarily about the mechanics of offerings — has missed the passage’s primary claim. Establish the narrative frame first.</w:t>
      </w:r>
    </w:p>
    <w:p>
      <w:pPr>
        <w:numPr>
          <w:ilvl w:val="0"/>
          <w:numId w:val="1002"/>
        </w:numPr>
      </w:pPr>
      <w:r>
        <w:rPr>
          <w:b/>
          <w:bCs/>
        </w:rPr>
        <w:t xml:space="preserve">Collapsing the unintentional/high-handed distinction into a simple moral gradient.</w:t>
      </w:r>
      <w:r>
        <w:t xml:space="preserve"> </w:t>
      </w:r>
      <w:r>
        <w:t xml:space="preserve">Preaching that treats verses 22–31 as teaching</w:t>
      </w:r>
      <w:r>
        <w:t xml:space="preserve"> </w:t>
      </w:r>
      <w:r>
        <w:t xml:space="preserve">“God forgives small sins more easily than big ones”</w:t>
      </w:r>
      <w:r>
        <w:t xml:space="preserve"> </w:t>
      </w:r>
      <w:r>
        <w:t xml:space="preserve">misreads the text. The distinction is not between minor and major sins on a spectrum — it is between sins of weakness (which the covenant system covers) and the posture of deliberate, defiant covenant rejection (which the system was not designed to cover, because it is a rejection of the system itself). The difference is not the size of the sin but the orientation of the heart toward the LORD’s word.</w:t>
      </w:r>
    </w:p>
    <w:p>
      <w:pPr>
        <w:numPr>
          <w:ilvl w:val="0"/>
          <w:numId w:val="1002"/>
        </w:numPr>
      </w:pPr>
      <w:r>
        <w:rPr>
          <w:b/>
          <w:bCs/>
        </w:rPr>
        <w:t xml:space="preserve">Moralizing the Sabbath-breaker episode (vv. 32–36) without handling the severity.</w:t>
      </w:r>
      <w:r>
        <w:t xml:space="preserve"> </w:t>
      </w:r>
      <w:r>
        <w:t xml:space="preserve">Preachers sometimes either skip the stoning narrative as embarrassing, or use it to moralize about Sabbath observance, without addressing the theological question the passage actually raises: Why such severity? The answer the text implies is that the man’s action was an act of public, high-handed covenant defiance — a contempt for the LORD’s word before the entire community — in a moment when the community had just been judged for exactly that sin. The severity is covenantal, not arbitrary. Do not domesticate it and do not avoid it.</w:t>
      </w:r>
    </w:p>
    <w:p>
      <w:pPr>
        <w:numPr>
          <w:ilvl w:val="0"/>
          <w:numId w:val="1002"/>
        </w:numPr>
      </w:pPr>
      <w:r>
        <w:rPr>
          <w:b/>
          <w:bCs/>
        </w:rPr>
        <w:t xml:space="preserve">Treating the</w:t>
      </w:r>
      <w:r>
        <w:t xml:space="preserve"> </w:t>
      </w:r>
      <w:r>
        <w:rPr>
          <w:b/>
          <w:bCs/>
          <w:i/>
          <w:iCs/>
        </w:rPr>
        <w:t xml:space="preserve">tzitzit</w:t>
      </w:r>
      <w:r>
        <w:t xml:space="preserve"> </w:t>
      </w:r>
      <w:r>
        <w:rPr>
          <w:b/>
          <w:bCs/>
        </w:rPr>
        <w:t xml:space="preserve">command as culturally obsolete without engaging its principle.</w:t>
      </w:r>
      <w:r>
        <w:t xml:space="preserve"> </w:t>
      </w:r>
      <w:r>
        <w:t xml:space="preserve">The temptation in preaching verses 37–41 is to note the practice, explain it briefly, and move quickly to</w:t>
      </w:r>
      <w:r>
        <w:t xml:space="preserve"> </w:t>
      </w:r>
      <w:r>
        <w:t xml:space="preserve">“we don’t do this today.”</w:t>
      </w:r>
      <w:r>
        <w:t xml:space="preserve"> </w:t>
      </w:r>
      <w:r>
        <w:t xml:space="preserve">This loses the theological anthropology driving the command: God knows hearts wander, eyes go after desires, and the drift from covenant fidelity is natural and persistent. The principle is not obsolete — it is fulfilled and deepened in New Covenant means of grace. A congregation should leave the passage asking what their</w:t>
      </w:r>
      <w:r>
        <w:t xml:space="preserve"> </w:t>
      </w:r>
      <w:r>
        <w:rPr>
          <w:i/>
          <w:iCs/>
        </w:rPr>
        <w:t xml:space="preserve">tzitzit</w:t>
      </w:r>
      <w:r>
        <w:t xml:space="preserve"> </w:t>
      </w:r>
      <w:r>
        <w:t xml:space="preserve">is, not simply that ancient Israelites had blue fringes.</w:t>
      </w:r>
    </w:p>
    <w:p>
      <w:pPr>
        <w:numPr>
          <w:ilvl w:val="0"/>
          <w:numId w:val="1002"/>
        </w:numPr>
      </w:pPr>
      <w:r>
        <w:rPr>
          <w:b/>
          <w:bCs/>
        </w:rPr>
        <w:t xml:space="preserve">Missing the</w:t>
      </w:r>
      <w:r>
        <w:t xml:space="preserve"> </w:t>
      </w:r>
      <w:r>
        <w:rPr>
          <w:b/>
          <w:bCs/>
          <w:i/>
          <w:iCs/>
        </w:rPr>
        <w:t xml:space="preserve">ger</w:t>
      </w:r>
      <w:r>
        <w:t xml:space="preserve"> </w:t>
      </w:r>
      <w:r>
        <w:rPr>
          <w:b/>
          <w:bCs/>
        </w:rPr>
        <w:t xml:space="preserve">inclusion as a structural theological claim.</w:t>
      </w:r>
      <w:r>
        <w:t xml:space="preserve"> </w:t>
      </w:r>
      <w:r>
        <w:t xml:space="preserve">The inclusion of the resident alien in verses 14–16 and again in verse 29 is not a minor legislative footnote. It is stated twice for emphasis and represents a significant theological claim about the nature of the covenant community. Expositors who pass over this quickly lose an opportunity to show how the covenant’s logic drives toward the gospel’s universality — and congregations may pick up, by omission, that the church’s ethnic and cultural boundaries are more elastic than God’s.</w:t>
      </w:r>
    </w:p>
    <w:p>
      <w:pPr>
        <w:numPr>
          <w:ilvl w:val="0"/>
          <w:numId w:val="1002"/>
        </w:numPr>
      </w:pPr>
      <w:r>
        <w:rPr>
          <w:b/>
          <w:bCs/>
        </w:rPr>
        <w:t xml:space="preserve">Failing to Christologically ground the atonement provisions.</w:t>
      </w:r>
      <w:r>
        <w:t xml:space="preserve"> </w:t>
      </w:r>
      <w:r>
        <w:t xml:space="preserve">The sin offerings of verses 22–29 should not be taught as the final word on provision for human weakness — they are the shadow. The preacher who explains the unintentional sin offering without pointing to Christ as the fulfillment of what those offerings could only type has given the congregation an excellent Old Testament lesson but not a complete gospel sermon. The goal is not to rush past the text to Jesus, but to trace the same covenantal provision from its anticipatory form in Leviticus and Numbers to its definitive form in the advocacy of Christ (1 John 2:1–2; Hebrews 9–10).</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2026-07-14T21:01:51Z</dcterms:created>
  <dcterms:modified xsi:type="dcterms:W3CDTF">2026-07-14T21:01:51Z</dcterms:modified>
</cp:coreProperties>
</file>

<file path=docProps/custom.xml><?xml version="1.0" encoding="utf-8"?>
<Properties xmlns="http://schemas.openxmlformats.org/officeDocument/2006/custom-properties" xmlns:vt="http://schemas.openxmlformats.org/officeDocument/2006/docPropsVTypes"/>
</file>